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E6ED7" w14:textId="77777777" w:rsidR="00B17EBF" w:rsidRPr="00C27ED2" w:rsidRDefault="00B17EBF" w:rsidP="00B17EBF">
      <w:pPr>
        <w:pStyle w:val="a3"/>
        <w:spacing w:after="0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855490">
        <w:rPr>
          <w:rFonts w:ascii="Times New Roman" w:hAnsi="Times New Roman" w:cs="Times New Roman"/>
        </w:rPr>
        <w:t xml:space="preserve">Додаток </w:t>
      </w:r>
      <w:r>
        <w:rPr>
          <w:rFonts w:ascii="Times New Roman" w:hAnsi="Times New Roman" w:cs="Times New Roman"/>
          <w:lang w:val="ru-RU"/>
        </w:rPr>
        <w:t>7</w:t>
      </w:r>
    </w:p>
    <w:p w14:paraId="6C6F0D30" w14:textId="77777777" w:rsidR="00B17EBF" w:rsidRDefault="00B17EBF" w:rsidP="00B17EBF">
      <w:pPr>
        <w:pStyle w:val="a3"/>
        <w:spacing w:after="0"/>
        <w:rPr>
          <w:rFonts w:ascii="Times New Roman" w:hAnsi="Times New Roman"/>
          <w:color w:val="000000" w:themeColor="text1"/>
        </w:rPr>
      </w:pPr>
      <w:r w:rsidRPr="00855490">
        <w:rPr>
          <w:rFonts w:ascii="Times New Roman" w:hAnsi="Times New Roman" w:cs="Times New Roman"/>
        </w:rPr>
        <w:t xml:space="preserve">до Технічного регламенту енергетичного маркування </w:t>
      </w:r>
      <w:r>
        <w:rPr>
          <w:rFonts w:ascii="Times New Roman" w:hAnsi="Times New Roman"/>
          <w:color w:val="000000" w:themeColor="text1"/>
        </w:rPr>
        <w:t>пилососів</w:t>
      </w:r>
    </w:p>
    <w:p w14:paraId="7B59D79B" w14:textId="77777777" w:rsidR="004E418F" w:rsidRDefault="004E418F" w:rsidP="00B17EBF">
      <w:pPr>
        <w:pStyle w:val="a5"/>
        <w:rPr>
          <w:rFonts w:ascii="Times New Roman" w:hAnsi="Times New Roman" w:cs="Times New Roman"/>
          <w:bCs w:val="0"/>
        </w:rPr>
      </w:pPr>
    </w:p>
    <w:p w14:paraId="40B1482D" w14:textId="77777777" w:rsidR="00B17EBF" w:rsidRPr="008C0527" w:rsidRDefault="00B17EBF" w:rsidP="00B17EBF">
      <w:pPr>
        <w:pStyle w:val="a5"/>
        <w:rPr>
          <w:rFonts w:ascii="Times New Roman" w:hAnsi="Times New Roman" w:cs="Times New Roman"/>
          <w:bCs w:val="0"/>
        </w:rPr>
      </w:pPr>
      <w:commentRangeStart w:id="1"/>
      <w:r w:rsidRPr="008C0527">
        <w:rPr>
          <w:rFonts w:ascii="Times New Roman" w:hAnsi="Times New Roman" w:cs="Times New Roman"/>
          <w:bCs w:val="0"/>
        </w:rPr>
        <w:t xml:space="preserve">ВИМОГИ </w:t>
      </w:r>
      <w:r w:rsidRPr="008C0527">
        <w:rPr>
          <w:rFonts w:ascii="Times New Roman" w:hAnsi="Times New Roman" w:cs="Times New Roman"/>
          <w:bCs w:val="0"/>
        </w:rPr>
        <w:br/>
        <w:t xml:space="preserve">щодо проведення перевірки відповідності фактичних технічних характеристик </w:t>
      </w:r>
      <w:r>
        <w:rPr>
          <w:rFonts w:ascii="Times New Roman" w:hAnsi="Times New Roman" w:cs="Times New Roman"/>
          <w:bCs w:val="0"/>
        </w:rPr>
        <w:t xml:space="preserve">пилососа вимогам Технічного регламенту </w:t>
      </w:r>
      <w:r w:rsidRPr="008C0527">
        <w:rPr>
          <w:rFonts w:ascii="Times New Roman" w:hAnsi="Times New Roman" w:cs="Times New Roman"/>
          <w:bCs w:val="0"/>
        </w:rPr>
        <w:t xml:space="preserve">енергетичного маркування </w:t>
      </w:r>
      <w:r>
        <w:rPr>
          <w:rFonts w:ascii="Times New Roman" w:hAnsi="Times New Roman" w:cs="Times New Roman"/>
          <w:bCs w:val="0"/>
        </w:rPr>
        <w:t>пилососів</w:t>
      </w:r>
      <w:commentRangeEnd w:id="1"/>
      <w:r w:rsidR="00AC57AF">
        <w:rPr>
          <w:rStyle w:val="af"/>
          <w:rFonts w:asciiTheme="minorHAnsi" w:hAnsiTheme="minorHAnsi" w:cstheme="minorBidi"/>
          <w:b w:val="0"/>
          <w:bCs w:val="0"/>
          <w:lang w:val="ru-RU"/>
        </w:rPr>
        <w:commentReference w:id="1"/>
      </w:r>
    </w:p>
    <w:p w14:paraId="6C2AAB5B" w14:textId="77777777" w:rsidR="004E418F" w:rsidRPr="004E418F" w:rsidRDefault="004E418F" w:rsidP="004E418F">
      <w:pPr>
        <w:pStyle w:val="a8"/>
        <w:numPr>
          <w:ilvl w:val="0"/>
          <w:numId w:val="2"/>
        </w:numPr>
        <w:tabs>
          <w:tab w:val="left" w:pos="851"/>
        </w:tabs>
        <w:spacing w:after="120"/>
        <w:ind w:left="0" w:firstLine="567"/>
        <w:rPr>
          <w:rFonts w:ascii="Times New Roman" w:hAnsi="Times New Roman"/>
        </w:rPr>
      </w:pPr>
      <w:r w:rsidRPr="00855490">
        <w:rPr>
          <w:rFonts w:ascii="Times New Roman" w:hAnsi="Times New Roman"/>
        </w:rPr>
        <w:t xml:space="preserve">Перевірка відповідності фактичних технічних характеристик </w:t>
      </w:r>
      <w:r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 вимогам Технічного регламенту пр</w:t>
      </w:r>
      <w:r>
        <w:rPr>
          <w:rFonts w:ascii="Times New Roman" w:hAnsi="Times New Roman"/>
        </w:rPr>
        <w:t>оводиться шляхом тестування одного</w:t>
      </w:r>
      <w:r w:rsidRPr="008554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. </w:t>
      </w:r>
    </w:p>
    <w:p w14:paraId="3BFCA710" w14:textId="77777777" w:rsidR="004E418F" w:rsidRPr="004E418F" w:rsidRDefault="004E418F" w:rsidP="004E418F">
      <w:pPr>
        <w:pStyle w:val="a6"/>
        <w:numPr>
          <w:ilvl w:val="0"/>
          <w:numId w:val="2"/>
        </w:numPr>
        <w:tabs>
          <w:tab w:val="left" w:pos="851"/>
        </w:tabs>
        <w:spacing w:after="120"/>
        <w:ind w:left="0" w:right="-1" w:firstLine="567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Вважається, що модель пилососа відповідає встановленим вимогам, якщо значення та к</w:t>
      </w: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ласи, зазначені на етикетці та мікрофіші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, відповідають значенням, наведеним у технічній документації, а випробування моделі на відповідність характеристикам, зазначеним у таблиці 4, підтверджує відповідність усіх цих характеристик.</w:t>
      </w:r>
    </w:p>
    <w:p w14:paraId="66A1E4F4" w14:textId="77777777" w:rsidR="004E418F" w:rsidRPr="004E418F" w:rsidRDefault="004E418F" w:rsidP="004E418F">
      <w:pPr>
        <w:pStyle w:val="a8"/>
        <w:numPr>
          <w:ilvl w:val="0"/>
          <w:numId w:val="2"/>
        </w:numPr>
        <w:tabs>
          <w:tab w:val="left" w:pos="851"/>
        </w:tabs>
        <w:spacing w:after="120"/>
        <w:ind w:left="0" w:firstLine="567"/>
        <w:rPr>
          <w:rFonts w:ascii="Times New Roman" w:hAnsi="Times New Roman"/>
        </w:rPr>
      </w:pPr>
      <w:r w:rsidRPr="00855490">
        <w:rPr>
          <w:rFonts w:ascii="Times New Roman" w:hAnsi="Times New Roman"/>
        </w:rPr>
        <w:t xml:space="preserve">Якщо за результатами перевірки виявлено невідповідність показників, визначених постачальником відповідно до Технічного регламенту, проводиться додаткове тестування трьох </w:t>
      </w:r>
      <w:r>
        <w:rPr>
          <w:rFonts w:ascii="Times New Roman" w:hAnsi="Times New Roman"/>
        </w:rPr>
        <w:t>пилососів</w:t>
      </w:r>
      <w:r w:rsidRPr="00855490">
        <w:rPr>
          <w:rFonts w:ascii="Times New Roman" w:hAnsi="Times New Roman"/>
        </w:rPr>
        <w:t xml:space="preserve">. </w:t>
      </w:r>
    </w:p>
    <w:p w14:paraId="6BD9642B" w14:textId="77777777" w:rsidR="004E418F" w:rsidRDefault="004E418F" w:rsidP="004E418F">
      <w:pPr>
        <w:pStyle w:val="a6"/>
        <w:numPr>
          <w:ilvl w:val="0"/>
          <w:numId w:val="2"/>
        </w:numPr>
        <w:tabs>
          <w:tab w:val="left" w:pos="851"/>
        </w:tabs>
        <w:spacing w:after="120"/>
        <w:ind w:left="0" w:right="-1" w:firstLine="567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Вважається, що модель пилососа відповідає встановленим вимогам, якщо випробування моделі на відповідність характеристикам, зазначеним у таблиці 4, підтверджує відповідність усіх цих характеристик.</w:t>
      </w:r>
    </w:p>
    <w:p w14:paraId="0DE4A54F" w14:textId="77777777" w:rsidR="004E418F" w:rsidRDefault="004E418F" w:rsidP="004E418F">
      <w:pPr>
        <w:pStyle w:val="a6"/>
        <w:numPr>
          <w:ilvl w:val="0"/>
          <w:numId w:val="2"/>
        </w:numPr>
        <w:tabs>
          <w:tab w:val="left" w:pos="851"/>
        </w:tabs>
        <w:spacing w:after="120"/>
        <w:ind w:left="0" w:right="-1" w:firstLine="567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Якщо результат</w:t>
      </w: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у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, передбачен</w:t>
      </w: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ого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 пунктом 4, не було досягнуто, то вважається, що модель та всі еквівалентні моделі пилососів не відповідають положенням цього </w:t>
      </w:r>
      <w:r w:rsidR="00A92428" w:rsidRPr="00A92428">
        <w:rPr>
          <w:rFonts w:ascii="Times New Roman" w:eastAsia="Arial Unicode MS" w:hAnsi="Times New Roman" w:cs="Times New Roman"/>
          <w:color w:val="1A171C"/>
          <w:sz w:val="26"/>
          <w:szCs w:val="26"/>
          <w:lang w:val="ru-RU"/>
        </w:rPr>
        <w:t>Технічного регламенту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.</w:t>
      </w:r>
    </w:p>
    <w:p w14:paraId="17A67988" w14:textId="77777777" w:rsidR="004E418F" w:rsidRPr="004E418F" w:rsidRDefault="004E418F" w:rsidP="004E418F">
      <w:pPr>
        <w:pStyle w:val="a6"/>
        <w:tabs>
          <w:tab w:val="left" w:pos="851"/>
        </w:tabs>
        <w:spacing w:after="120"/>
        <w:ind w:left="0" w:right="-1" w:firstLine="567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Методи вимірювання та розрахунку проводяться відповідно до додатку 6 до </w:t>
      </w: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ц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ього Технічного регламенту.</w:t>
      </w:r>
    </w:p>
    <w:p w14:paraId="689101DD" w14:textId="77777777" w:rsidR="004E418F" w:rsidRPr="004E418F" w:rsidRDefault="00116230" w:rsidP="00A92428">
      <w:pPr>
        <w:pStyle w:val="a6"/>
        <w:spacing w:after="120"/>
        <w:ind w:left="0" w:right="-1" w:firstLine="567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Допустимі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 </w:t>
      </w:r>
      <w:r w:rsid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похибки</w:t>
      </w:r>
      <w:r w:rsidR="004E418F"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, визначені в цьому </w:t>
      </w:r>
      <w:r w:rsidR="00D12FB6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д</w:t>
      </w:r>
      <w:r w:rsidR="004E418F"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одатку, 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передбачен</w:t>
      </w:r>
      <w:r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і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 </w:t>
      </w:r>
      <w:r w:rsidR="004E418F"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лише для перевірки виміряних характеристик органами </w:t>
      </w:r>
      <w:r w:rsidR="00D12FB6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ринкового нагляду</w:t>
      </w:r>
      <w:r w:rsidR="004E418F"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; вони не повинні використовуватися постачальниками як допустимі відхилення для визначення значень характеристик у технічній документації. Значення та класи, зазначені на етикетці або </w:t>
      </w:r>
      <w:r w:rsidR="00D12FB6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мікрофіші</w:t>
      </w:r>
      <w:r w:rsidR="004E418F"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>, не повинні бути більш сприятливими для постачальника, ніж значення, наведені в технічній документації.</w:t>
      </w:r>
    </w:p>
    <w:p w14:paraId="1E01629D" w14:textId="77777777" w:rsidR="004E418F" w:rsidRPr="00E010DE" w:rsidRDefault="004E418F" w:rsidP="00A92428">
      <w:pPr>
        <w:spacing w:before="115" w:after="120" w:line="240" w:lineRule="auto"/>
        <w:ind w:right="-1"/>
        <w:jc w:val="right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4E418F">
        <w:rPr>
          <w:rFonts w:ascii="Times New Roman" w:eastAsia="Arial Unicode MS" w:hAnsi="Times New Roman" w:cs="Times New Roman"/>
          <w:i/>
          <w:iCs/>
          <w:color w:val="1A171C"/>
          <w:sz w:val="26"/>
          <w:szCs w:val="26"/>
          <w:lang w:val="uk-UA"/>
        </w:rPr>
        <w:t>Таблиця 4</w:t>
      </w: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3686"/>
        <w:gridCol w:w="5634"/>
      </w:tblGrid>
      <w:tr w:rsidR="004E418F" w:rsidRPr="00D12FB6" w14:paraId="71BD49B8" w14:textId="77777777" w:rsidTr="00E010DE">
        <w:trPr>
          <w:trHeight w:hRule="exact" w:val="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E705" w14:textId="77777777" w:rsidR="004E418F" w:rsidRPr="00D12FB6" w:rsidRDefault="004E418F" w:rsidP="004E418F">
            <w:pPr>
              <w:pStyle w:val="TableParagraph"/>
              <w:spacing w:before="58" w:after="120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Параметр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за яким проводиться перевірка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752" w14:textId="77777777" w:rsidR="004E418F" w:rsidRPr="00D12FB6" w:rsidRDefault="00D12FB6" w:rsidP="004E418F">
            <w:pPr>
              <w:pStyle w:val="TableParagraph"/>
              <w:spacing w:before="58" w:after="120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Допустима різниця значень показників</w:t>
            </w:r>
          </w:p>
        </w:tc>
      </w:tr>
      <w:tr w:rsidR="004E418F" w:rsidRPr="000F00E9" w14:paraId="7358540A" w14:textId="77777777" w:rsidTr="000F00E9">
        <w:trPr>
          <w:trHeight w:hRule="exact" w:val="1020"/>
        </w:trPr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14:paraId="05C21C3F" w14:textId="77777777" w:rsidR="004E418F" w:rsidRPr="00D12FB6" w:rsidRDefault="00116230" w:rsidP="00116230">
            <w:pPr>
              <w:pStyle w:val="TableParagraph"/>
              <w:spacing w:before="61" w:after="120"/>
              <w:ind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Річн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ий обсяг</w:t>
            </w: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4E418F"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енергоспоживання</w:t>
            </w:r>
          </w:p>
        </w:tc>
        <w:tc>
          <w:tcPr>
            <w:tcW w:w="5634" w:type="dxa"/>
            <w:tcBorders>
              <w:top w:val="single" w:sz="4" w:space="0" w:color="auto"/>
              <w:right w:val="nil"/>
            </w:tcBorders>
          </w:tcPr>
          <w:p w14:paraId="02C24EDE" w14:textId="77777777" w:rsidR="004E418F" w:rsidRPr="00D12FB6" w:rsidRDefault="00116230" w:rsidP="000F00E9">
            <w:pPr>
              <w:pStyle w:val="TableParagraph"/>
              <w:spacing w:before="96" w:after="120"/>
              <w:ind w:left="142" w:right="-1" w:hanging="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Визначене значення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vertAlign w:val="superscript"/>
                <w:lang w:val="uk-UA"/>
              </w:rPr>
              <w:t>(1)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не більше, ніж 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на</w:t>
            </w:r>
            <w:r w:rsidR="004E418F"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10</w:t>
            </w:r>
            <w:r w:rsidR="00E010DE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відсотків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0F00E9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перевищує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0F00E9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задекларовані </w:t>
            </w:r>
            <w:r w:rsidRPr="004E418F">
              <w:rPr>
                <w:rFonts w:ascii="Times New Roman" w:eastAsia="Arial Unicode MS" w:hAnsi="Times New Roman" w:cs="Times New Roman"/>
                <w:color w:val="1A171C"/>
                <w:sz w:val="26"/>
                <w:szCs w:val="26"/>
                <w:lang w:val="uk-UA"/>
              </w:rPr>
              <w:t>значення</w:t>
            </w:r>
          </w:p>
        </w:tc>
      </w:tr>
      <w:tr w:rsidR="004E418F" w:rsidRPr="00D12FB6" w14:paraId="004EFA8B" w14:textId="77777777" w:rsidTr="000F00E9">
        <w:trPr>
          <w:trHeight w:hRule="exact" w:val="841"/>
        </w:trPr>
        <w:tc>
          <w:tcPr>
            <w:tcW w:w="3686" w:type="dxa"/>
            <w:tcBorders>
              <w:left w:val="nil"/>
            </w:tcBorders>
          </w:tcPr>
          <w:p w14:paraId="1E9D0916" w14:textId="77777777" w:rsidR="004E418F" w:rsidRPr="00D12FB6" w:rsidRDefault="004E418F" w:rsidP="00116230">
            <w:pPr>
              <w:pStyle w:val="TableParagraph"/>
              <w:spacing w:before="61" w:after="120"/>
              <w:ind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Якість підбирання пилу з </w:t>
            </w:r>
            <w:r w:rsidR="00116230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килимового покриття</w:t>
            </w:r>
          </w:p>
        </w:tc>
        <w:tc>
          <w:tcPr>
            <w:tcW w:w="5634" w:type="dxa"/>
            <w:tcBorders>
              <w:right w:val="nil"/>
            </w:tcBorders>
          </w:tcPr>
          <w:p w14:paraId="0972485E" w14:textId="77777777" w:rsidR="004E418F" w:rsidRPr="00D12FB6" w:rsidRDefault="000F00E9" w:rsidP="00E010DE">
            <w:pPr>
              <w:pStyle w:val="TableParagraph"/>
              <w:spacing w:before="96" w:after="120"/>
              <w:ind w:left="142"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Визначене значення</w:t>
            </w:r>
            <w:r w:rsidDel="000F00E9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vertAlign w:val="superscript"/>
                <w:lang w:val="uk-UA"/>
              </w:rPr>
              <w:t>(1)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не більше, ніж </w:t>
            </w:r>
            <w:r w:rsid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на</w:t>
            </w:r>
            <w:r w:rsidR="00D12FB6"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 w:rsidR="004E418F"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0,03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менше задекларованого значення</w:t>
            </w:r>
            <w:r w:rsidR="004E418F"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.</w:t>
            </w:r>
          </w:p>
        </w:tc>
      </w:tr>
      <w:tr w:rsidR="004E418F" w:rsidRPr="00D12FB6" w14:paraId="33D64A3E" w14:textId="77777777" w:rsidTr="000F00E9">
        <w:trPr>
          <w:trHeight w:hRule="exact" w:val="1022"/>
        </w:trPr>
        <w:tc>
          <w:tcPr>
            <w:tcW w:w="3686" w:type="dxa"/>
            <w:tcBorders>
              <w:left w:val="nil"/>
            </w:tcBorders>
          </w:tcPr>
          <w:p w14:paraId="70EE6968" w14:textId="77777777" w:rsidR="004E418F" w:rsidRPr="00D12FB6" w:rsidRDefault="004E418F" w:rsidP="004E418F">
            <w:pPr>
              <w:pStyle w:val="TableParagraph"/>
              <w:spacing w:before="61" w:after="120"/>
              <w:ind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lastRenderedPageBreak/>
              <w:t>Якість підбирання пилу з твердої підлоги</w:t>
            </w:r>
          </w:p>
        </w:tc>
        <w:tc>
          <w:tcPr>
            <w:tcW w:w="5634" w:type="dxa"/>
            <w:tcBorders>
              <w:right w:val="nil"/>
            </w:tcBorders>
          </w:tcPr>
          <w:p w14:paraId="054E9C7E" w14:textId="77777777" w:rsidR="004E418F" w:rsidRPr="00D12FB6" w:rsidRDefault="000F00E9" w:rsidP="00E010DE">
            <w:pPr>
              <w:pStyle w:val="TableParagraph"/>
              <w:spacing w:before="96" w:after="120"/>
              <w:ind w:left="142" w:right="-1" w:hanging="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Визначене значення</w:t>
            </w:r>
            <w:r w:rsidDel="000F00E9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vertAlign w:val="superscript"/>
                <w:lang w:val="uk-UA"/>
              </w:rPr>
              <w:t>(1)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не більше, ніж на</w:t>
            </w: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0,03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менше задекларованого значення</w:t>
            </w:r>
          </w:p>
        </w:tc>
      </w:tr>
      <w:tr w:rsidR="004E418F" w:rsidRPr="00D12FB6" w14:paraId="0FDC1A2F" w14:textId="77777777" w:rsidTr="000F00E9">
        <w:trPr>
          <w:trHeight w:hRule="exact" w:val="993"/>
        </w:trPr>
        <w:tc>
          <w:tcPr>
            <w:tcW w:w="3686" w:type="dxa"/>
            <w:tcBorders>
              <w:left w:val="nil"/>
            </w:tcBorders>
          </w:tcPr>
          <w:p w14:paraId="3EEAF667" w14:textId="77777777" w:rsidR="004E418F" w:rsidRPr="00D12FB6" w:rsidRDefault="004E418F" w:rsidP="004E418F">
            <w:pPr>
              <w:pStyle w:val="TableParagraph"/>
              <w:spacing w:before="61" w:after="120"/>
              <w:ind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Повторне викидання пилу</w:t>
            </w:r>
          </w:p>
        </w:tc>
        <w:tc>
          <w:tcPr>
            <w:tcW w:w="5634" w:type="dxa"/>
            <w:tcBorders>
              <w:right w:val="nil"/>
            </w:tcBorders>
          </w:tcPr>
          <w:p w14:paraId="56FBAB01" w14:textId="77777777" w:rsidR="004E418F" w:rsidRPr="00D12FB6" w:rsidRDefault="000F00E9" w:rsidP="000F00E9">
            <w:pPr>
              <w:pStyle w:val="TableParagraph"/>
              <w:spacing w:before="96" w:after="120"/>
              <w:ind w:left="142" w:right="-1" w:hanging="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Визначене значення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vertAlign w:val="superscript"/>
                <w:lang w:val="uk-UA"/>
              </w:rPr>
              <w:t>(1)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не більше, ніж на</w:t>
            </w: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 1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5 відсотків перевищує задекларовані </w:t>
            </w:r>
            <w:r w:rsidRPr="004E418F">
              <w:rPr>
                <w:rFonts w:ascii="Times New Roman" w:eastAsia="Arial Unicode MS" w:hAnsi="Times New Roman" w:cs="Times New Roman"/>
                <w:color w:val="1A171C"/>
                <w:sz w:val="26"/>
                <w:szCs w:val="26"/>
                <w:lang w:val="uk-UA"/>
              </w:rPr>
              <w:t>значення</w:t>
            </w:r>
          </w:p>
        </w:tc>
      </w:tr>
      <w:tr w:rsidR="004E418F" w:rsidRPr="00D12FB6" w14:paraId="68BD7A07" w14:textId="77777777" w:rsidTr="00E010DE">
        <w:trPr>
          <w:trHeight w:hRule="exact" w:val="684"/>
        </w:trPr>
        <w:tc>
          <w:tcPr>
            <w:tcW w:w="3686" w:type="dxa"/>
            <w:tcBorders>
              <w:left w:val="nil"/>
            </w:tcBorders>
          </w:tcPr>
          <w:p w14:paraId="09E5483B" w14:textId="77777777" w:rsidR="004E418F" w:rsidRPr="00D12FB6" w:rsidRDefault="004E418F" w:rsidP="004E418F">
            <w:pPr>
              <w:pStyle w:val="TableParagraph"/>
              <w:spacing w:before="61" w:after="120"/>
              <w:ind w:right="-1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D12FB6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Рівень звукової потужності</w:t>
            </w:r>
          </w:p>
        </w:tc>
        <w:tc>
          <w:tcPr>
            <w:tcW w:w="5634" w:type="dxa"/>
            <w:tcBorders>
              <w:right w:val="nil"/>
            </w:tcBorders>
          </w:tcPr>
          <w:p w14:paraId="3C10BA07" w14:textId="77777777" w:rsidR="004E418F" w:rsidRPr="00D12FB6" w:rsidRDefault="00E010DE" w:rsidP="000F00E9">
            <w:pPr>
              <w:pStyle w:val="TableParagraph"/>
              <w:spacing w:before="61" w:after="120"/>
              <w:ind w:left="142" w:right="-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Виміряне значення не повинне бути більшим за </w:t>
            </w:r>
            <w:r w:rsidR="000F00E9"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 xml:space="preserve">задеклароване </w:t>
            </w:r>
            <w:r>
              <w:rPr>
                <w:rFonts w:ascii="Times New Roman" w:eastAsia="Arial Unicode MS" w:hAnsi="Times New Roman" w:cs="Times New Roman"/>
                <w:color w:val="1A171C"/>
                <w:sz w:val="24"/>
                <w:szCs w:val="24"/>
                <w:lang w:val="uk-UA"/>
              </w:rPr>
              <w:t>значення</w:t>
            </w:r>
          </w:p>
        </w:tc>
      </w:tr>
    </w:tbl>
    <w:p w14:paraId="47FF566E" w14:textId="77777777" w:rsidR="004E418F" w:rsidRPr="004E418F" w:rsidRDefault="004E418F" w:rsidP="00E010DE">
      <w:pPr>
        <w:spacing w:before="57" w:after="120" w:line="240" w:lineRule="auto"/>
        <w:ind w:right="-1"/>
        <w:jc w:val="both"/>
        <w:rPr>
          <w:rFonts w:ascii="Times New Roman" w:eastAsia="Arial Unicode MS" w:hAnsi="Times New Roman" w:cs="Times New Roman"/>
          <w:sz w:val="26"/>
          <w:szCs w:val="26"/>
          <w:lang w:val="uk-UA"/>
        </w:rPr>
      </w:pPr>
      <w:r w:rsidRPr="00E010DE">
        <w:rPr>
          <w:rFonts w:ascii="Times New Roman" w:eastAsia="Arial Unicode MS" w:hAnsi="Times New Roman" w:cs="Times New Roman"/>
          <w:color w:val="1A171C"/>
          <w:sz w:val="26"/>
          <w:szCs w:val="26"/>
          <w:vertAlign w:val="superscript"/>
          <w:lang w:val="uk-UA"/>
        </w:rPr>
        <w:t>(1)</w:t>
      </w:r>
      <w:r w:rsidRPr="004E418F">
        <w:rPr>
          <w:rFonts w:ascii="Times New Roman" w:eastAsia="Arial Unicode MS" w:hAnsi="Times New Roman" w:cs="Times New Roman"/>
          <w:color w:val="1A171C"/>
          <w:sz w:val="26"/>
          <w:szCs w:val="26"/>
          <w:lang w:val="uk-UA"/>
        </w:rPr>
        <w:t xml:space="preserve"> середньоарифметичне значення вимірів у випадку випробування трьох додаткових пристроїв згідно з положеннями пункту 3.</w:t>
      </w:r>
    </w:p>
    <w:p w14:paraId="29A3856A" w14:textId="77777777" w:rsidR="004E418F" w:rsidRPr="00E010DE" w:rsidRDefault="00E010DE" w:rsidP="00E010DE">
      <w:pPr>
        <w:spacing w:before="8" w:after="120" w:line="240" w:lineRule="auto"/>
        <w:ind w:right="-1"/>
        <w:jc w:val="center"/>
        <w:rPr>
          <w:rFonts w:ascii="Times New Roman" w:eastAsia="Arial Unicode MS" w:hAnsi="Times New Roman" w:cs="Times New Roman"/>
          <w:sz w:val="26"/>
          <w:szCs w:val="26"/>
          <w:lang w:val="en-US"/>
        </w:rPr>
      </w:pPr>
      <w:r>
        <w:rPr>
          <w:rFonts w:ascii="Times New Roman" w:eastAsia="Arial Unicode MS" w:hAnsi="Times New Roman" w:cs="Times New Roman"/>
          <w:sz w:val="26"/>
          <w:szCs w:val="26"/>
          <w:lang w:val="en-US"/>
        </w:rPr>
        <w:t>_______________________</w:t>
      </w:r>
    </w:p>
    <w:p w14:paraId="014209FB" w14:textId="77777777" w:rsidR="001D3BEC" w:rsidRPr="004E418F" w:rsidRDefault="001D3BEC" w:rsidP="004E418F">
      <w:pPr>
        <w:spacing w:after="12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D8586D2" w14:textId="77777777" w:rsidR="004E418F" w:rsidRPr="004E418F" w:rsidRDefault="004E418F">
      <w:pPr>
        <w:spacing w:after="12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sectPr w:rsidR="004E418F" w:rsidRPr="004E418F" w:rsidSect="00DD4A8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Анатолий" w:date="2015-12-20T23:03:00Z" w:initials="А">
    <w:p w14:paraId="3871A955" w14:textId="77777777" w:rsidR="00AC57AF" w:rsidRPr="00AC57AF" w:rsidRDefault="00AC57AF">
      <w:pPr>
        <w:pStyle w:val="af0"/>
        <w:rPr>
          <w:lang w:val="uk-UA"/>
        </w:rPr>
      </w:pPr>
      <w:r>
        <w:rPr>
          <w:rStyle w:val="af"/>
        </w:rPr>
        <w:annotationRef/>
      </w:r>
      <w:r>
        <w:rPr>
          <w:lang w:val="uk-UA"/>
        </w:rPr>
        <w:t>Слід переглянути нумерацію додатків після доповнення проекту ТР новим додатком щодо інтернет продажів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71A955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3B913" w14:textId="77777777" w:rsidR="00D31FF7" w:rsidRDefault="00D31FF7" w:rsidP="00DD4A83">
      <w:pPr>
        <w:spacing w:after="0" w:line="240" w:lineRule="auto"/>
      </w:pPr>
      <w:r>
        <w:separator/>
      </w:r>
    </w:p>
  </w:endnote>
  <w:endnote w:type="continuationSeparator" w:id="0">
    <w:p w14:paraId="05441AB0" w14:textId="77777777" w:rsidR="00D31FF7" w:rsidRDefault="00D31FF7" w:rsidP="00DD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E2243" w14:textId="77777777" w:rsidR="00D31FF7" w:rsidRDefault="00D31FF7" w:rsidP="00DD4A83">
      <w:pPr>
        <w:spacing w:after="0" w:line="240" w:lineRule="auto"/>
      </w:pPr>
      <w:r>
        <w:separator/>
      </w:r>
    </w:p>
  </w:footnote>
  <w:footnote w:type="continuationSeparator" w:id="0">
    <w:p w14:paraId="2793F724" w14:textId="77777777" w:rsidR="00D31FF7" w:rsidRDefault="00D31FF7" w:rsidP="00DD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11001"/>
    </w:sdtPr>
    <w:sdtEndPr/>
    <w:sdtContent>
      <w:p w14:paraId="5401543B" w14:textId="5E929DB5" w:rsidR="00DD4A83" w:rsidRDefault="0031647F" w:rsidP="00DD4A8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A6A">
          <w:rPr>
            <w:noProof/>
          </w:rPr>
          <w:t>2</w:t>
        </w:r>
        <w:r>
          <w:rPr>
            <w:noProof/>
          </w:rPr>
          <w:fldChar w:fldCharType="end"/>
        </w:r>
        <w:r w:rsidR="00DD4A83">
          <w:rPr>
            <w:lang w:val="uk-UA"/>
          </w:rPr>
          <w:t xml:space="preserve">                                                </w:t>
        </w:r>
        <w:r w:rsidR="00DD4A83">
          <w:rPr>
            <w:lang w:val="en-US"/>
          </w:rPr>
          <w:t>Продовження додатка 7</w:t>
        </w:r>
      </w:p>
    </w:sdtContent>
  </w:sdt>
  <w:p w14:paraId="52092C48" w14:textId="77777777" w:rsidR="00DD4A83" w:rsidRDefault="00DD4A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71C97"/>
    <w:multiLevelType w:val="hybridMultilevel"/>
    <w:tmpl w:val="189A2A34"/>
    <w:lvl w:ilvl="0" w:tplc="551C634E">
      <w:start w:val="1"/>
      <w:numFmt w:val="decimal"/>
      <w:lvlText w:val="%1."/>
      <w:lvlJc w:val="left"/>
      <w:pPr>
        <w:ind w:left="1345" w:hanging="209"/>
      </w:pPr>
      <w:rPr>
        <w:rFonts w:ascii="PMingLiU" w:eastAsia="PMingLiU" w:hAnsi="PMingLiU" w:hint="default"/>
        <w:color w:val="1A171C"/>
        <w:spacing w:val="-1"/>
        <w:w w:val="105"/>
        <w:sz w:val="17"/>
        <w:szCs w:val="17"/>
      </w:rPr>
    </w:lvl>
    <w:lvl w:ilvl="1" w:tplc="1C4613EC">
      <w:start w:val="1"/>
      <w:numFmt w:val="bullet"/>
      <w:lvlText w:val="•"/>
      <w:lvlJc w:val="left"/>
      <w:pPr>
        <w:ind w:left="2257" w:hanging="209"/>
      </w:pPr>
      <w:rPr>
        <w:rFonts w:hint="default"/>
      </w:rPr>
    </w:lvl>
    <w:lvl w:ilvl="2" w:tplc="97E809E0">
      <w:start w:val="1"/>
      <w:numFmt w:val="bullet"/>
      <w:lvlText w:val="•"/>
      <w:lvlJc w:val="left"/>
      <w:pPr>
        <w:ind w:left="3169" w:hanging="209"/>
      </w:pPr>
      <w:rPr>
        <w:rFonts w:hint="default"/>
      </w:rPr>
    </w:lvl>
    <w:lvl w:ilvl="3" w:tplc="4FDC380E">
      <w:start w:val="1"/>
      <w:numFmt w:val="bullet"/>
      <w:lvlText w:val="•"/>
      <w:lvlJc w:val="left"/>
      <w:pPr>
        <w:ind w:left="4081" w:hanging="209"/>
      </w:pPr>
      <w:rPr>
        <w:rFonts w:hint="default"/>
      </w:rPr>
    </w:lvl>
    <w:lvl w:ilvl="4" w:tplc="D2F000AC">
      <w:start w:val="1"/>
      <w:numFmt w:val="bullet"/>
      <w:lvlText w:val="•"/>
      <w:lvlJc w:val="left"/>
      <w:pPr>
        <w:ind w:left="4993" w:hanging="209"/>
      </w:pPr>
      <w:rPr>
        <w:rFonts w:hint="default"/>
      </w:rPr>
    </w:lvl>
    <w:lvl w:ilvl="5" w:tplc="1568B3FA">
      <w:start w:val="1"/>
      <w:numFmt w:val="bullet"/>
      <w:lvlText w:val="•"/>
      <w:lvlJc w:val="left"/>
      <w:pPr>
        <w:ind w:left="5905" w:hanging="209"/>
      </w:pPr>
      <w:rPr>
        <w:rFonts w:hint="default"/>
      </w:rPr>
    </w:lvl>
    <w:lvl w:ilvl="6" w:tplc="329CE806">
      <w:start w:val="1"/>
      <w:numFmt w:val="bullet"/>
      <w:lvlText w:val="•"/>
      <w:lvlJc w:val="left"/>
      <w:pPr>
        <w:ind w:left="6817" w:hanging="209"/>
      </w:pPr>
      <w:rPr>
        <w:rFonts w:hint="default"/>
      </w:rPr>
    </w:lvl>
    <w:lvl w:ilvl="7" w:tplc="D7C2B916">
      <w:start w:val="1"/>
      <w:numFmt w:val="bullet"/>
      <w:lvlText w:val="•"/>
      <w:lvlJc w:val="left"/>
      <w:pPr>
        <w:ind w:left="7729" w:hanging="209"/>
      </w:pPr>
      <w:rPr>
        <w:rFonts w:hint="default"/>
      </w:rPr>
    </w:lvl>
    <w:lvl w:ilvl="8" w:tplc="FA74BD04">
      <w:start w:val="1"/>
      <w:numFmt w:val="bullet"/>
      <w:lvlText w:val="•"/>
      <w:lvlJc w:val="left"/>
      <w:pPr>
        <w:ind w:left="8641" w:hanging="209"/>
      </w:pPr>
      <w:rPr>
        <w:rFonts w:hint="default"/>
      </w:rPr>
    </w:lvl>
  </w:abstractNum>
  <w:abstractNum w:abstractNumId="1" w15:restartNumberingAfterBreak="0">
    <w:nsid w:val="7E2815C9"/>
    <w:multiLevelType w:val="hybridMultilevel"/>
    <w:tmpl w:val="FDE856A6"/>
    <w:lvl w:ilvl="0" w:tplc="4198F9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7EBF"/>
    <w:rsid w:val="000F00E9"/>
    <w:rsid w:val="00116230"/>
    <w:rsid w:val="00137A6A"/>
    <w:rsid w:val="001D3BEC"/>
    <w:rsid w:val="0031647F"/>
    <w:rsid w:val="004E418F"/>
    <w:rsid w:val="00586151"/>
    <w:rsid w:val="005D1835"/>
    <w:rsid w:val="00845709"/>
    <w:rsid w:val="00A92428"/>
    <w:rsid w:val="00AC57AF"/>
    <w:rsid w:val="00B17EBF"/>
    <w:rsid w:val="00D12FB6"/>
    <w:rsid w:val="00D31FF7"/>
    <w:rsid w:val="00DD4A83"/>
    <w:rsid w:val="00E0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0292"/>
  <w15:docId w15:val="{EDA0CFAE-7429-4F36-A000-BE79B9FD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B17EBF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  <w:style w:type="character" w:customStyle="1" w:styleId="a4">
    <w:name w:val="Назва документа Знак Знак"/>
    <w:basedOn w:val="a0"/>
    <w:link w:val="a5"/>
    <w:uiPriority w:val="99"/>
    <w:locked/>
    <w:rsid w:val="00B17EBF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5">
    <w:name w:val="Назва документа Знак"/>
    <w:basedOn w:val="a"/>
    <w:next w:val="a"/>
    <w:link w:val="a4"/>
    <w:uiPriority w:val="99"/>
    <w:rsid w:val="00B17EBF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  <w:lang w:val="uk-UA"/>
    </w:rPr>
  </w:style>
  <w:style w:type="table" w:customStyle="1" w:styleId="TableNormal">
    <w:name w:val="Table Normal"/>
    <w:uiPriority w:val="2"/>
    <w:semiHidden/>
    <w:unhideWhenUsed/>
    <w:qFormat/>
    <w:rsid w:val="004E418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4E418F"/>
    <w:pPr>
      <w:widowControl w:val="0"/>
      <w:spacing w:after="0" w:line="240" w:lineRule="auto"/>
      <w:ind w:left="1345"/>
    </w:pPr>
    <w:rPr>
      <w:rFonts w:ascii="PMingLiU" w:eastAsia="PMingLiU" w:hAnsi="PMingLiU"/>
      <w:sz w:val="17"/>
      <w:szCs w:val="17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4E418F"/>
    <w:rPr>
      <w:rFonts w:ascii="PMingLiU" w:eastAsia="PMingLiU" w:hAnsi="PMingLiU"/>
      <w:sz w:val="17"/>
      <w:szCs w:val="17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E418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a8">
    <w:name w:val="Нормальний текст"/>
    <w:basedOn w:val="a"/>
    <w:uiPriority w:val="99"/>
    <w:rsid w:val="004E418F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D4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4A83"/>
  </w:style>
  <w:style w:type="paragraph" w:styleId="ab">
    <w:name w:val="footer"/>
    <w:basedOn w:val="a"/>
    <w:link w:val="ac"/>
    <w:uiPriority w:val="99"/>
    <w:semiHidden/>
    <w:unhideWhenUsed/>
    <w:rsid w:val="00DD4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D4A83"/>
  </w:style>
  <w:style w:type="paragraph" w:styleId="ad">
    <w:name w:val="Balloon Text"/>
    <w:basedOn w:val="a"/>
    <w:link w:val="ae"/>
    <w:uiPriority w:val="99"/>
    <w:semiHidden/>
    <w:unhideWhenUsed/>
    <w:rsid w:val="00AC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57AF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AC57A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C57A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C57A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57A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C57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2015-04-16T13:29:00Z</dcterms:created>
  <dcterms:modified xsi:type="dcterms:W3CDTF">2016-02-10T09:22:00Z</dcterms:modified>
</cp:coreProperties>
</file>